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F3864"/>
          <w:sz w:val="38"/>
          <w:szCs w:val="38"/>
          <w:rFonts w:ascii="Calibri" w:cs="Calibri" w:eastAsia="Calibri" w:hAnsi="Calibri"/>
        </w:rPr>
        <w:t xml:space="preserve">How to Read a Turnitin or iThenticate Similarity Report</w:t>
      </w:r>
    </w:p>
    <w:p>
      <w:pPr>
        <w:spacing w:after="300"/>
      </w:pPr>
      <w:r>
        <w:rPr>
          <w:i/>
          <w:iCs/>
          <w:color w:val="595959"/>
          <w:sz w:val="20"/>
          <w:szCs w:val="20"/>
          <w:rFonts w:ascii="Calibri" w:cs="Calibri" w:eastAsia="Calibri" w:hAnsi="Calibri"/>
        </w:rPr>
        <w:t xml:space="preserve">What the percentage actually means, which matches are a problem, and what to do about each one.</w:t>
      </w:r>
    </w:p>
    <w:p>
      <w:pPr>
        <w:spacing w:after="110"/>
      </w:pPr>
      <w:r>
        <w:rPr>
          <w:sz w:val="21"/>
          <w:szCs w:val="21"/>
          <w:rFonts w:ascii="Calibri" w:cs="Calibri" w:eastAsia="Calibri" w:hAnsi="Calibri"/>
        </w:rPr>
        <w:t xml:space="preserve">A similarity score is not a plagiarism score. It is the proportion of your text that matches something in the database. A correctly written thesis with a long reference list and standard methodology wording will always show a figure above zero — often well above it.</w:t>
      </w:r>
    </w:p>
    <w:p>
      <w:pPr>
        <w:spacing w:after="110"/>
      </w:pPr>
      <w:r>
        <w:rPr>
          <w:sz w:val="21"/>
          <w:szCs w:val="21"/>
          <w:rFonts w:ascii="Calibri" w:cs="Calibri" w:eastAsia="Calibri" w:hAnsi="Calibri"/>
        </w:rPr>
        <w:t xml:space="preserve">What matters is not the number. It is where the matches come from and whether each one is properly attributed.</w:t>
      </w:r>
    </w:p>
    <w:p>
      <w:pPr>
        <w:pBdr>
          <w:bottom w:val="single" w:color="999999" w:sz="6" w:space="4"/>
        </w:pBdr>
        <w:spacing w:before="320" w:after="130"/>
      </w:pPr>
      <w:r>
        <w:rPr>
          <w:b/>
          <w:bCs/>
          <w:color w:val="1F3864"/>
          <w:sz w:val="25"/>
          <w:szCs w:val="25"/>
          <w:rFonts w:ascii="Calibri" w:cs="Calibri" w:eastAsia="Calibri" w:hAnsi="Calibri"/>
        </w:rPr>
        <w:t xml:space="preserve">1. The number on its own tells you almost nothing</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shd w:fill="F2F2F2" w:val="clear"/>
            <w:tcMar>
              <w:top w:type="dxa" w:w="70"/>
              <w:left w:type="dxa" w:w="110"/>
              <w:bottom w:type="dxa" w:w="70"/>
              <w:right w:type="dxa" w:w="110"/>
            </w:tcMar>
          </w:tcPr>
          <w:p>
            <w:r>
              <w:rPr>
                <w:b/>
                <w:bCs/>
                <w:sz w:val="19"/>
                <w:szCs w:val="19"/>
                <w:rFonts w:ascii="Calibri" w:cs="Calibri" w:eastAsia="Calibri" w:hAnsi="Calibri"/>
              </w:rPr>
              <w:t xml:space="preserve">Score</w:t>
            </w:r>
          </w:p>
        </w:tc>
        <w:tc>
          <w:tcPr>
            <w:tcMar>
              <w:top w:type="dxa" w:w="70"/>
              <w:left w:type="dxa" w:w="110"/>
              <w:bottom w:type="dxa" w:w="70"/>
              <w:right w:type="dxa" w:w="110"/>
            </w:tcMar>
          </w:tcPr>
          <w:p>
            <w:r>
              <w:rPr>
                <w:b w:val="false"/>
                <w:bCs w:val="false"/>
                <w:sz w:val="19"/>
                <w:szCs w:val="19"/>
                <w:rFonts w:ascii="Calibri" w:cs="Calibri" w:eastAsia="Calibri" w:hAnsi="Calibri"/>
              </w:rPr>
              <w:t xml:space="preserve">What it usually means</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Under 5%</w:t>
            </w:r>
          </w:p>
        </w:tc>
        <w:tc>
          <w:tcPr>
            <w:tcMar>
              <w:top w:type="dxa" w:w="70"/>
              <w:left w:type="dxa" w:w="110"/>
              <w:bottom w:type="dxa" w:w="70"/>
              <w:right w:type="dxa" w:w="110"/>
            </w:tcMar>
          </w:tcPr>
          <w:p>
            <w:r>
              <w:rPr>
                <w:b w:val="false"/>
                <w:bCs w:val="false"/>
                <w:sz w:val="19"/>
                <w:szCs w:val="19"/>
                <w:rFonts w:ascii="Calibri" w:cs="Calibri" w:eastAsia="Calibri" w:hAnsi="Calibri"/>
              </w:rPr>
              <w:t xml:space="preserve">Unusually low. Check the report actually processed the whole document and that the reference list was not excluded by accident.</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5–20%</w:t>
            </w:r>
          </w:p>
        </w:tc>
        <w:tc>
          <w:tcPr>
            <w:tcMar>
              <w:top w:type="dxa" w:w="70"/>
              <w:left w:type="dxa" w:w="110"/>
              <w:bottom w:type="dxa" w:w="70"/>
              <w:right w:type="dxa" w:w="110"/>
            </w:tcMar>
          </w:tcPr>
          <w:p>
            <w:r>
              <w:rPr>
                <w:b w:val="false"/>
                <w:bCs w:val="false"/>
                <w:sz w:val="19"/>
                <w:szCs w:val="19"/>
                <w:rFonts w:ascii="Calibri" w:cs="Calibri" w:eastAsia="Calibri" w:hAnsi="Calibri"/>
              </w:rPr>
              <w:t xml:space="preserve">Normal for most theses. Expect references, standard phrases and methodology wording to account for most of it.</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20–35%</w:t>
            </w:r>
          </w:p>
        </w:tc>
        <w:tc>
          <w:tcPr>
            <w:tcMar>
              <w:top w:type="dxa" w:w="70"/>
              <w:left w:type="dxa" w:w="110"/>
              <w:bottom w:type="dxa" w:w="70"/>
              <w:right w:type="dxa" w:w="110"/>
            </w:tcMar>
          </w:tcPr>
          <w:p>
            <w:r>
              <w:rPr>
                <w:b w:val="false"/>
                <w:bCs w:val="false"/>
                <w:sz w:val="19"/>
                <w:szCs w:val="19"/>
                <w:rFonts w:ascii="Calibri" w:cs="Calibri" w:eastAsia="Calibri" w:hAnsi="Calibri"/>
              </w:rPr>
              <w:t xml:space="preserve">Needs review. Usually fine if the matches are spread across many sources. A problem if one source dominates.</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Over 35%</w:t>
            </w:r>
          </w:p>
        </w:tc>
        <w:tc>
          <w:tcPr>
            <w:tcMar>
              <w:top w:type="dxa" w:w="70"/>
              <w:left w:type="dxa" w:w="110"/>
              <w:bottom w:type="dxa" w:w="70"/>
              <w:right w:type="dxa" w:w="110"/>
            </w:tcMar>
          </w:tcPr>
          <w:p>
            <w:r>
              <w:rPr>
                <w:b w:val="false"/>
                <w:bCs w:val="false"/>
                <w:sz w:val="19"/>
                <w:szCs w:val="19"/>
                <w:rFonts w:ascii="Calibri" w:cs="Calibri" w:eastAsia="Calibri" w:hAnsi="Calibri"/>
              </w:rPr>
              <w:t xml:space="preserve">Review every match individually before submitting. Large blocks from few sources are the pattern supervisors query.</w:t>
            </w:r>
          </w:p>
        </w:tc>
      </w:tr>
    </w:tbl>
    <w:p>
      <w:pPr>
        <w:spacing w:after="140"/>
      </w:pPr>
      <w:r>
        <w:rPr>
          <w:i/>
          <w:iCs/>
          <w:color w:val="595959"/>
          <w:sz w:val="18"/>
          <w:szCs w:val="18"/>
          <w:rFonts w:ascii="Calibri" w:cs="Calibri" w:eastAsia="Calibri" w:hAnsi="Calibri"/>
        </w:rPr>
        <w:t xml:space="preserve">Universities set their own thresholds and they vary widely. Confirm yours in writing before you rely on any figure, including the ones above.</w:t>
      </w:r>
    </w:p>
    <w:p>
      <w:pPr>
        <w:pBdr>
          <w:bottom w:val="single" w:color="999999" w:sz="6" w:space="4"/>
        </w:pBdr>
        <w:spacing w:before="320" w:after="130"/>
      </w:pPr>
      <w:r>
        <w:rPr>
          <w:b/>
          <w:bCs/>
          <w:color w:val="1F3864"/>
          <w:sz w:val="25"/>
          <w:szCs w:val="25"/>
          <w:rFonts w:ascii="Calibri" w:cs="Calibri" w:eastAsia="Calibri" w:hAnsi="Calibri"/>
        </w:rPr>
        <w:t xml:space="preserve">2. The question that actually matters</w:t>
      </w:r>
    </w:p>
    <w:p>
      <w:pPr>
        <w:spacing w:after="110"/>
      </w:pPr>
      <w:r>
        <w:rPr>
          <w:sz w:val="21"/>
          <w:szCs w:val="21"/>
          <w:rFonts w:ascii="Calibri" w:cs="Calibri" w:eastAsia="Calibri" w:hAnsi="Calibri"/>
        </w:rPr>
        <w:t xml:space="preserve">For every match in the report, ask one question: is this text that should be attributed, and is it attributed?</w:t>
      </w:r>
    </w:p>
    <w:p>
      <w:pPr>
        <w:spacing w:after="110"/>
      </w:pPr>
      <w:r>
        <w:rPr>
          <w:sz w:val="21"/>
          <w:szCs w:val="21"/>
          <w:rFonts w:ascii="Calibri" w:cs="Calibri" w:eastAsia="Calibri" w:hAnsi="Calibri"/>
        </w:rPr>
        <w:t xml:space="preserve">A 40% score made up of your own reference list, standard instrument wording and correctly cited quotations is fine. A 12% score containing one uncited paragraph from someone else's findings is academic misconduct.</w:t>
      </w:r>
    </w:p>
    <w:p>
      <w:pPr>
        <w:pBdr>
          <w:bottom w:val="single" w:color="999999" w:sz="6" w:space="4"/>
        </w:pBdr>
        <w:spacing w:before="320" w:after="130"/>
      </w:pPr>
      <w:r>
        <w:rPr>
          <w:b/>
          <w:bCs/>
          <w:color w:val="1F3864"/>
          <w:sz w:val="25"/>
          <w:szCs w:val="25"/>
          <w:rFonts w:ascii="Calibri" w:cs="Calibri" w:eastAsia="Calibri" w:hAnsi="Calibri"/>
        </w:rPr>
        <w:t xml:space="preserve">3. Match types and what to do about each</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shd w:fill="F2F2F2" w:val="clear"/>
            <w:tcMar>
              <w:top w:type="dxa" w:w="70"/>
              <w:left w:type="dxa" w:w="110"/>
              <w:bottom w:type="dxa" w:w="70"/>
              <w:right w:type="dxa" w:w="110"/>
            </w:tcMar>
          </w:tcPr>
          <w:p>
            <w:r>
              <w:rPr>
                <w:b/>
                <w:bCs/>
                <w:sz w:val="19"/>
                <w:szCs w:val="19"/>
                <w:rFonts w:ascii="Calibri" w:cs="Calibri" w:eastAsia="Calibri" w:hAnsi="Calibri"/>
              </w:rPr>
              <w:t xml:space="preserve">Match type</w:t>
            </w:r>
          </w:p>
        </w:tc>
        <w:tc>
          <w:tcPr>
            <w:tcMar>
              <w:top w:type="dxa" w:w="70"/>
              <w:left w:type="dxa" w:w="110"/>
              <w:bottom w:type="dxa" w:w="70"/>
              <w:right w:type="dxa" w:w="110"/>
            </w:tcMar>
          </w:tcPr>
          <w:p>
            <w:r>
              <w:rPr>
                <w:b w:val="false"/>
                <w:bCs w:val="false"/>
                <w:sz w:val="19"/>
                <w:szCs w:val="19"/>
                <w:rFonts w:ascii="Calibri" w:cs="Calibri" w:eastAsia="Calibri" w:hAnsi="Calibri"/>
              </w:rPr>
              <w:t xml:space="preserve">What to do</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Reference list</w:t>
            </w:r>
          </w:p>
        </w:tc>
        <w:tc>
          <w:tcPr>
            <w:tcMar>
              <w:top w:type="dxa" w:w="70"/>
              <w:left w:type="dxa" w:w="110"/>
              <w:bottom w:type="dxa" w:w="70"/>
              <w:right w:type="dxa" w:w="110"/>
            </w:tcMar>
          </w:tcPr>
          <w:p>
            <w:r>
              <w:rPr>
                <w:b w:val="false"/>
                <w:bCs w:val="false"/>
                <w:sz w:val="19"/>
                <w:szCs w:val="19"/>
                <w:rFonts w:ascii="Calibri" w:cs="Calibri" w:eastAsia="Calibri" w:hAnsi="Calibri"/>
              </w:rPr>
              <w:t xml:space="preserve">Nothing. Exclude the bibliography from the report settings if your university allows it, and say so when you submit the report.</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Direct quotation, cited</w:t>
            </w:r>
          </w:p>
        </w:tc>
        <w:tc>
          <w:tcPr>
            <w:tcMar>
              <w:top w:type="dxa" w:w="70"/>
              <w:left w:type="dxa" w:w="110"/>
              <w:bottom w:type="dxa" w:w="70"/>
              <w:right w:type="dxa" w:w="110"/>
            </w:tcMar>
          </w:tcPr>
          <w:p>
            <w:r>
              <w:rPr>
                <w:b w:val="false"/>
                <w:bCs w:val="false"/>
                <w:sz w:val="19"/>
                <w:szCs w:val="19"/>
                <w:rFonts w:ascii="Calibri" w:cs="Calibri" w:eastAsia="Calibri" w:hAnsi="Calibri"/>
              </w:rPr>
              <w:t xml:space="preserve">Nothing, if it is in quotation marks with a page number. Check the quotation is not longer than the point requires.</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Direct quotation, not cited</w:t>
            </w:r>
          </w:p>
        </w:tc>
        <w:tc>
          <w:tcPr>
            <w:tcMar>
              <w:top w:type="dxa" w:w="70"/>
              <w:left w:type="dxa" w:w="110"/>
              <w:bottom w:type="dxa" w:w="70"/>
              <w:right w:type="dxa" w:w="110"/>
            </w:tcMar>
          </w:tcPr>
          <w:p>
            <w:r>
              <w:rPr>
                <w:b w:val="false"/>
                <w:bCs w:val="false"/>
                <w:sz w:val="19"/>
                <w:szCs w:val="19"/>
                <w:rFonts w:ascii="Calibri" w:cs="Calibri" w:eastAsia="Calibri" w:hAnsi="Calibri"/>
              </w:rPr>
              <w:t xml:space="preserve">Fix immediately. Add quotation marks and the citation, or paraphrase properly and cite.</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Paraphrase too close to the original</w:t>
            </w:r>
          </w:p>
        </w:tc>
        <w:tc>
          <w:tcPr>
            <w:tcMar>
              <w:top w:type="dxa" w:w="70"/>
              <w:left w:type="dxa" w:w="110"/>
              <w:bottom w:type="dxa" w:w="70"/>
              <w:right w:type="dxa" w:w="110"/>
            </w:tcMar>
          </w:tcPr>
          <w:p>
            <w:r>
              <w:rPr>
                <w:b w:val="false"/>
                <w:bCs w:val="false"/>
                <w:sz w:val="19"/>
                <w:szCs w:val="19"/>
                <w:rFonts w:ascii="Calibri" w:cs="Calibri" w:eastAsia="Calibri" w:hAnsi="Calibri"/>
              </w:rPr>
              <w:t xml:space="preserve">Rewrite from your own notes rather than editing their sentence. Changing words in someone else's sentence structure is still their sentence.</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Standard methodology wording</w:t>
            </w:r>
          </w:p>
        </w:tc>
        <w:tc>
          <w:tcPr>
            <w:tcMar>
              <w:top w:type="dxa" w:w="70"/>
              <w:left w:type="dxa" w:w="110"/>
              <w:bottom w:type="dxa" w:w="70"/>
              <w:right w:type="dxa" w:w="110"/>
            </w:tcMar>
          </w:tcPr>
          <w:p>
            <w:r>
              <w:rPr>
                <w:b w:val="false"/>
                <w:bCs w:val="false"/>
                <w:sz w:val="19"/>
                <w:szCs w:val="19"/>
                <w:rFonts w:ascii="Calibri" w:cs="Calibri" w:eastAsia="Calibri" w:hAnsi="Calibri"/>
              </w:rPr>
              <w:t xml:space="preserve">Usually acceptable — there are only so many ways to write "a five-point Likert scale was used". If a whole paragraph matches, rewrite it.</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Published instrument or scale items</w:t>
            </w:r>
          </w:p>
        </w:tc>
        <w:tc>
          <w:tcPr>
            <w:tcMar>
              <w:top w:type="dxa" w:w="70"/>
              <w:left w:type="dxa" w:w="110"/>
              <w:bottom w:type="dxa" w:w="70"/>
              <w:right w:type="dxa" w:w="110"/>
            </w:tcMar>
          </w:tcPr>
          <w:p>
            <w:r>
              <w:rPr>
                <w:b w:val="false"/>
                <w:bCs w:val="false"/>
                <w:sz w:val="19"/>
                <w:szCs w:val="19"/>
                <w:rFonts w:ascii="Calibri" w:cs="Calibri" w:eastAsia="Calibri" w:hAnsi="Calibri"/>
              </w:rPr>
              <w:t xml:space="preserve">Cite the source of the instrument. Check the licence — some scales require permission to reproduce.</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Your own earlier work</w:t>
            </w:r>
          </w:p>
        </w:tc>
        <w:tc>
          <w:tcPr>
            <w:tcMar>
              <w:top w:type="dxa" w:w="70"/>
              <w:left w:type="dxa" w:w="110"/>
              <w:bottom w:type="dxa" w:w="70"/>
              <w:right w:type="dxa" w:w="110"/>
            </w:tcMar>
          </w:tcPr>
          <w:p>
            <w:r>
              <w:rPr>
                <w:b w:val="false"/>
                <w:bCs w:val="false"/>
                <w:sz w:val="19"/>
                <w:szCs w:val="19"/>
                <w:rFonts w:ascii="Calibri" w:cs="Calibri" w:eastAsia="Calibri" w:hAnsi="Calibri"/>
              </w:rPr>
              <w:t xml:space="preserve">Self-plagiarism is still flagged. Cite your own published work the same way you would cite anyone else.</w:t>
            </w:r>
          </w:p>
        </w:tc>
      </w:tr>
      <w:tr>
        <w:tc>
          <w:tcPr>
            <w:shd w:fill="F2F2F2" w:val="clear"/>
            <w:tcMar>
              <w:top w:type="dxa" w:w="70"/>
              <w:left w:type="dxa" w:w="110"/>
              <w:bottom w:type="dxa" w:w="70"/>
              <w:right w:type="dxa" w:w="110"/>
            </w:tcMar>
          </w:tcPr>
          <w:p>
            <w:r>
              <w:rPr>
                <w:b/>
                <w:bCs/>
                <w:sz w:val="19"/>
                <w:szCs w:val="19"/>
                <w:rFonts w:ascii="Calibri" w:cs="Calibri" w:eastAsia="Calibri" w:hAnsi="Calibri"/>
              </w:rPr>
              <w:t xml:space="preserve">Common phrases and technical terms</w:t>
            </w:r>
          </w:p>
        </w:tc>
        <w:tc>
          <w:tcPr>
            <w:tcMar>
              <w:top w:type="dxa" w:w="70"/>
              <w:left w:type="dxa" w:w="110"/>
              <w:bottom w:type="dxa" w:w="70"/>
              <w:right w:type="dxa" w:w="110"/>
            </w:tcMar>
          </w:tcPr>
          <w:p>
            <w:r>
              <w:rPr>
                <w:b w:val="false"/>
                <w:bCs w:val="false"/>
                <w:sz w:val="19"/>
                <w:szCs w:val="19"/>
                <w:rFonts w:ascii="Calibri" w:cs="Calibri" w:eastAsia="Calibri" w:hAnsi="Calibri"/>
              </w:rPr>
              <w:t xml:space="preserve">Ignore. Single-line matches of ordinary phrasing are noise.</w:t>
            </w:r>
          </w:p>
        </w:tc>
      </w:tr>
    </w:tbl>
    <w:p>
      <w:pPr>
        <w:pBdr>
          <w:bottom w:val="single" w:color="999999" w:sz="6" w:space="4"/>
        </w:pBdr>
        <w:spacing w:before="320" w:after="130"/>
      </w:pPr>
      <w:r>
        <w:rPr>
          <w:b/>
          <w:bCs/>
          <w:color w:val="1F3864"/>
          <w:sz w:val="25"/>
          <w:szCs w:val="25"/>
          <w:rFonts w:ascii="Calibri" w:cs="Calibri" w:eastAsia="Calibri" w:hAnsi="Calibri"/>
        </w:rPr>
        <w:t xml:space="preserve">4. Five things that inflate the score for no reason</w:t>
      </w:r>
    </w:p>
    <w:p>
      <w:pPr>
        <w:pStyle w:val="ListParagraph"/>
        <w:numPr>
          <w:ilvl w:val="0"/>
          <w:numId w:val="1"/>
        </w:numPr>
        <w:spacing w:after="70"/>
      </w:pPr>
      <w:r>
        <w:rPr>
          <w:sz w:val="21"/>
          <w:szCs w:val="21"/>
          <w:rFonts w:ascii="Calibri" w:cs="Calibri" w:eastAsia="Calibri" w:hAnsi="Calibri"/>
        </w:rPr>
        <w:t xml:space="preserve">The reference list was included in the check</w:t>
      </w:r>
    </w:p>
    <w:p>
      <w:pPr>
        <w:pStyle w:val="ListParagraph"/>
        <w:numPr>
          <w:ilvl w:val="0"/>
          <w:numId w:val="1"/>
        </w:numPr>
        <w:spacing w:after="70"/>
      </w:pPr>
      <w:r>
        <w:rPr>
          <w:sz w:val="21"/>
          <w:szCs w:val="21"/>
          <w:rFonts w:ascii="Calibri" w:cs="Calibri" w:eastAsia="Calibri" w:hAnsi="Calibri"/>
        </w:rPr>
        <w:t xml:space="preserve">Quoted material was not set as quotations in the submission settings</w:t>
      </w:r>
    </w:p>
    <w:p>
      <w:pPr>
        <w:pStyle w:val="ListParagraph"/>
        <w:numPr>
          <w:ilvl w:val="0"/>
          <w:numId w:val="1"/>
        </w:numPr>
        <w:spacing w:after="70"/>
      </w:pPr>
      <w:r>
        <w:rPr>
          <w:sz w:val="21"/>
          <w:szCs w:val="21"/>
          <w:rFonts w:ascii="Calibri" w:cs="Calibri" w:eastAsia="Calibri" w:hAnsi="Calibri"/>
        </w:rPr>
        <w:t xml:space="preserve">A standard appendix — a questionnaire, a consent form, an ethics approval letter</w:t>
      </w:r>
    </w:p>
    <w:p>
      <w:pPr>
        <w:pStyle w:val="ListParagraph"/>
        <w:numPr>
          <w:ilvl w:val="0"/>
          <w:numId w:val="1"/>
        </w:numPr>
        <w:spacing w:after="70"/>
      </w:pPr>
      <w:r>
        <w:rPr>
          <w:sz w:val="21"/>
          <w:szCs w:val="21"/>
          <w:rFonts w:ascii="Calibri" w:cs="Calibri" w:eastAsia="Calibri" w:hAnsi="Calibri"/>
        </w:rPr>
        <w:t xml:space="preserve">A thesis template supplied by your own university</w:t>
      </w:r>
    </w:p>
    <w:p>
      <w:pPr>
        <w:pStyle w:val="ListParagraph"/>
        <w:numPr>
          <w:ilvl w:val="0"/>
          <w:numId w:val="1"/>
        </w:numPr>
        <w:spacing w:after="70"/>
      </w:pPr>
      <w:r>
        <w:rPr>
          <w:sz w:val="21"/>
          <w:szCs w:val="21"/>
          <w:rFonts w:ascii="Calibri" w:cs="Calibri" w:eastAsia="Calibri" w:hAnsi="Calibri"/>
        </w:rPr>
        <w:t xml:space="preserve">An earlier draft of your own work already in the repository</w:t>
      </w:r>
    </w:p>
    <w:p>
      <w:pPr>
        <w:spacing w:after="110"/>
      </w:pPr>
      <w:r>
        <w:rPr>
          <w:sz w:val="21"/>
          <w:szCs w:val="21"/>
          <w:rFonts w:ascii="Calibri" w:cs="Calibri" w:eastAsia="Calibri" w:hAnsi="Calibri"/>
        </w:rPr>
        <w:t xml:space="preserve">Each of these is fixable in the report settings or explainable in one sentence to your supervisor. None of them requires rewriting anything.</w:t>
      </w:r>
    </w:p>
    <w:p>
      <w:pPr>
        <w:pBdr>
          <w:bottom w:val="single" w:color="999999" w:sz="6" w:space="4"/>
        </w:pBdr>
        <w:spacing w:before="320" w:after="130"/>
      </w:pPr>
      <w:r>
        <w:rPr>
          <w:b/>
          <w:bCs/>
          <w:color w:val="1F3864"/>
          <w:sz w:val="25"/>
          <w:szCs w:val="25"/>
          <w:rFonts w:ascii="Calibri" w:cs="Calibri" w:eastAsia="Calibri" w:hAnsi="Calibri"/>
        </w:rPr>
        <w:t xml:space="preserve">5. Reducing similarity the right way</w:t>
      </w:r>
    </w:p>
    <w:p>
      <w:pPr>
        <w:spacing w:before="200" w:after="90"/>
      </w:pPr>
      <w:r>
        <w:rPr>
          <w:b/>
          <w:bCs/>
          <w:sz w:val="21"/>
          <w:szCs w:val="21"/>
          <w:rFonts w:ascii="Calibri" w:cs="Calibri" w:eastAsia="Calibri" w:hAnsi="Calibri"/>
        </w:rPr>
        <w:t xml:space="preserve">What works</w:t>
      </w:r>
    </w:p>
    <w:p>
      <w:pPr>
        <w:pStyle w:val="ListParagraph"/>
        <w:numPr>
          <w:ilvl w:val="0"/>
          <w:numId w:val="1"/>
        </w:numPr>
        <w:spacing w:after="70"/>
      </w:pPr>
      <w:r>
        <w:rPr>
          <w:sz w:val="21"/>
          <w:szCs w:val="21"/>
          <w:rFonts w:ascii="Calibri" w:cs="Calibri" w:eastAsia="Calibri" w:hAnsi="Calibri"/>
        </w:rPr>
        <w:t xml:space="preserve">Read the source, close it, and write the point from your own understanding</w:t>
      </w:r>
    </w:p>
    <w:p>
      <w:pPr>
        <w:pStyle w:val="ListParagraph"/>
        <w:numPr>
          <w:ilvl w:val="0"/>
          <w:numId w:val="1"/>
        </w:numPr>
        <w:spacing w:after="70"/>
      </w:pPr>
      <w:r>
        <w:rPr>
          <w:sz w:val="21"/>
          <w:szCs w:val="21"/>
          <w:rFonts w:ascii="Calibri" w:cs="Calibri" w:eastAsia="Calibri" w:hAnsi="Calibri"/>
        </w:rPr>
        <w:t xml:space="preserve">Cite more precisely, so attributed matches are clearly attributed</w:t>
      </w:r>
    </w:p>
    <w:p>
      <w:pPr>
        <w:pStyle w:val="ListParagraph"/>
        <w:numPr>
          <w:ilvl w:val="0"/>
          <w:numId w:val="1"/>
        </w:numPr>
        <w:spacing w:after="70"/>
      </w:pPr>
      <w:r>
        <w:rPr>
          <w:sz w:val="21"/>
          <w:szCs w:val="21"/>
          <w:rFonts w:ascii="Calibri" w:cs="Calibri" w:eastAsia="Calibri" w:hAnsi="Calibri"/>
        </w:rPr>
        <w:t xml:space="preserve">Shorten long quotations to the sentence that actually matters</w:t>
      </w:r>
    </w:p>
    <w:p>
      <w:pPr>
        <w:pStyle w:val="ListParagraph"/>
        <w:numPr>
          <w:ilvl w:val="0"/>
          <w:numId w:val="1"/>
        </w:numPr>
        <w:spacing w:after="70"/>
      </w:pPr>
      <w:r>
        <w:rPr>
          <w:sz w:val="21"/>
          <w:szCs w:val="21"/>
          <w:rFonts w:ascii="Calibri" w:cs="Calibri" w:eastAsia="Calibri" w:hAnsi="Calibri"/>
        </w:rPr>
        <w:t xml:space="preserve">Rewrite methodology sections in your own sequence rather than the source's</w:t>
      </w:r>
    </w:p>
    <w:p>
      <w:pPr>
        <w:spacing w:before="200" w:after="90"/>
      </w:pPr>
      <w:r>
        <w:rPr>
          <w:b/>
          <w:bCs/>
          <w:sz w:val="21"/>
          <w:szCs w:val="21"/>
          <w:rFonts w:ascii="Calibri" w:cs="Calibri" w:eastAsia="Calibri" w:hAnsi="Calibri"/>
        </w:rPr>
        <w:t xml:space="preserve">What does not work, and what it costs you</w:t>
      </w:r>
    </w:p>
    <w:p>
      <w:pPr>
        <w:pStyle w:val="ListParagraph"/>
        <w:numPr>
          <w:ilvl w:val="0"/>
          <w:numId w:val="1"/>
        </w:numPr>
        <w:spacing w:after="70"/>
      </w:pPr>
      <w:r>
        <w:rPr>
          <w:sz w:val="21"/>
          <w:szCs w:val="21"/>
          <w:rFonts w:ascii="Calibri" w:cs="Calibri" w:eastAsia="Calibri" w:hAnsi="Calibri"/>
        </w:rPr>
        <w:t xml:space="preserve">Synonym substitution. It produces unreadable text and does not remove the match</w:t>
      </w:r>
    </w:p>
    <w:p>
      <w:pPr>
        <w:pStyle w:val="ListParagraph"/>
        <w:numPr>
          <w:ilvl w:val="0"/>
          <w:numId w:val="1"/>
        </w:numPr>
        <w:spacing w:after="70"/>
      </w:pPr>
      <w:r>
        <w:rPr>
          <w:sz w:val="21"/>
          <w:szCs w:val="21"/>
          <w:rFonts w:ascii="Calibri" w:cs="Calibri" w:eastAsia="Calibri" w:hAnsi="Calibri"/>
        </w:rPr>
        <w:t xml:space="preserve">Character substitution or hidden text. This is detected and treated as deliberate deception</w:t>
      </w:r>
    </w:p>
    <w:p>
      <w:pPr>
        <w:pStyle w:val="ListParagraph"/>
        <w:numPr>
          <w:ilvl w:val="0"/>
          <w:numId w:val="1"/>
        </w:numPr>
        <w:spacing w:after="70"/>
      </w:pPr>
      <w:r>
        <w:rPr>
          <w:sz w:val="21"/>
          <w:szCs w:val="21"/>
          <w:rFonts w:ascii="Calibri" w:cs="Calibri" w:eastAsia="Calibri" w:hAnsi="Calibri"/>
        </w:rPr>
        <w:t xml:space="preserve">Paraphrasing tools. They leave the original sentence structure intact, which is the part that matches</w:t>
      </w:r>
    </w:p>
    <w:p>
      <w:pPr>
        <w:pStyle w:val="ListParagraph"/>
        <w:numPr>
          <w:ilvl w:val="0"/>
          <w:numId w:val="1"/>
        </w:numPr>
        <w:spacing w:after="70"/>
      </w:pPr>
      <w:r>
        <w:rPr>
          <w:sz w:val="21"/>
          <w:szCs w:val="21"/>
          <w:rFonts w:ascii="Calibri" w:cs="Calibri" w:eastAsia="Calibri" w:hAnsi="Calibri"/>
        </w:rPr>
        <w:t xml:space="preserve">Adding filler to dilute the percentage. Examiners notice padding faster than software does</w:t>
      </w:r>
    </w:p>
    <w:p>
      <w:pPr>
        <w:spacing w:after="140"/>
      </w:pPr>
      <w:r>
        <w:rPr>
          <w:i/>
          <w:iCs/>
          <w:color w:val="595959"/>
          <w:sz w:val="18"/>
          <w:szCs w:val="18"/>
          <w:rFonts w:ascii="Calibri" w:cs="Calibri" w:eastAsia="Calibri" w:hAnsi="Calibri"/>
        </w:rPr>
        <w:t xml:space="preserve">A supervisor who finds hidden characters in a submission will treat it as misconduct, not as a formatting error. The risk is not worth any percentage point.</w:t>
      </w:r>
    </w:p>
    <w:p>
      <w:pPr>
        <w:pBdr>
          <w:bottom w:val="single" w:color="999999" w:sz="6" w:space="4"/>
        </w:pBdr>
        <w:spacing w:before="320" w:after="130"/>
      </w:pPr>
      <w:r>
        <w:rPr>
          <w:b/>
          <w:bCs/>
          <w:color w:val="1F3864"/>
          <w:sz w:val="25"/>
          <w:szCs w:val="25"/>
          <w:rFonts w:ascii="Calibri" w:cs="Calibri" w:eastAsia="Calibri" w:hAnsi="Calibri"/>
        </w:rPr>
        <w:t xml:space="preserve">6. Your record</w:t>
      </w:r>
    </w:p>
    <w:p>
      <w:pPr>
        <w:spacing w:after="110"/>
      </w:pPr>
      <w:r>
        <w:rPr>
          <w:sz w:val="21"/>
          <w:szCs w:val="21"/>
          <w:rFonts w:ascii="Calibri" w:cs="Calibri" w:eastAsia="Calibri" w:hAnsi="Calibri"/>
        </w:rPr>
        <w:t xml:space="preserve">Keep this for each submission. If a similarity figure is ever queried, a dated record of what you checked and when is the difference between a conversation and a problem.</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Document</w:t>
            </w:r>
          </w:p>
        </w:tc>
        <w:tc>
          <w:tcPr>
            <w:tcMar>
              <w:top w:type="dxa" w:w="70"/>
              <w:left w:type="dxa" w:w="110"/>
              <w:bottom w:type="dxa" w:w="70"/>
              <w:right w:type="dxa" w:w="110"/>
            </w:tcMar>
          </w:tcPr>
          <w:p>
            <w:r>
              <w:rPr>
                <w:i/>
                <w:iCs/>
                <w:color w:val="A6A6A6"/>
                <w:sz w:val="18"/>
                <w:szCs w:val="18"/>
                <w:rFonts w:ascii="Calibri" w:cs="Calibri" w:eastAsia="Calibri" w:hAnsi="Calibri"/>
              </w:rPr>
              <w:t xml:space="preserve">chapter or full thesis</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Tool used</w:t>
            </w:r>
          </w:p>
        </w:tc>
        <w:tc>
          <w:tcPr>
            <w:tcMar>
              <w:top w:type="dxa" w:w="70"/>
              <w:left w:type="dxa" w:w="110"/>
              <w:bottom w:type="dxa" w:w="70"/>
              <w:right w:type="dxa" w:w="110"/>
            </w:tcMar>
          </w:tcPr>
          <w:p>
            <w:r>
              <w:rPr>
                <w:i/>
                <w:iCs/>
                <w:color w:val="A6A6A6"/>
                <w:sz w:val="18"/>
                <w:szCs w:val="18"/>
                <w:rFonts w:ascii="Calibri" w:cs="Calibri" w:eastAsia="Calibri" w:hAnsi="Calibri"/>
              </w:rPr>
              <w:t xml:space="preserve">Turnitin or iThenticate</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Date checked</w:t>
            </w:r>
          </w:p>
        </w:tc>
        <w:tc>
          <w:tcPr>
            <w:tcMar>
              <w:top w:type="dxa" w:w="70"/>
              <w:left w:type="dxa" w:w="110"/>
              <w:bottom w:type="dxa" w:w="70"/>
              <w:right w:type="dxa" w:w="110"/>
            </w:tcMar>
          </w:tcPr>
          <w:p>
            <w:r>
              <w:rPr>
                <w:i/>
                <w:iCs/>
                <w:color w:val="A6A6A6"/>
                <w:sz w:val="18"/>
                <w:szCs w:val="18"/>
                <w:rFonts w:ascii="Calibri" w:cs="Calibri" w:eastAsia="Calibri" w:hAnsi="Calibri"/>
              </w:rPr>
              <w:t xml:space="preserve">DD MMM YYYY</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Overall similarity</w:t>
            </w:r>
          </w:p>
        </w:tc>
        <w:tc>
          <w:tcPr>
            <w:tcMar>
              <w:top w:type="dxa" w:w="70"/>
              <w:left w:type="dxa" w:w="110"/>
              <w:bottom w:type="dxa" w:w="70"/>
              <w:right w:type="dxa" w:w="110"/>
            </w:tcMar>
          </w:tcPr>
          <w:p>
            <w:r>
              <w:rPr>
                <w:i/>
                <w:iCs/>
                <w:color w:val="A6A6A6"/>
                <w:sz w:val="18"/>
                <w:szCs w:val="18"/>
                <w:rFonts w:ascii="Calibri" w:cs="Calibri" w:eastAsia="Calibri" w:hAnsi="Calibri"/>
              </w:rPr>
              <w:t xml:space="preserve">%</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Highest single source</w:t>
            </w:r>
          </w:p>
        </w:tc>
        <w:tc>
          <w:tcPr>
            <w:tcMar>
              <w:top w:type="dxa" w:w="70"/>
              <w:left w:type="dxa" w:w="110"/>
              <w:bottom w:type="dxa" w:w="70"/>
              <w:right w:type="dxa" w:w="110"/>
            </w:tcMar>
          </w:tcPr>
          <w:p>
            <w:r>
              <w:rPr>
                <w:i/>
                <w:iCs/>
                <w:color w:val="A6A6A6"/>
                <w:sz w:val="18"/>
                <w:szCs w:val="18"/>
                <w:rFonts w:ascii="Calibri" w:cs="Calibri" w:eastAsia="Calibri" w:hAnsi="Calibri"/>
              </w:rPr>
              <w:t xml:space="preserve">% and what it was</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Reference list excluded?</w:t>
            </w:r>
          </w:p>
        </w:tc>
        <w:tc>
          <w:tcPr>
            <w:tcMar>
              <w:top w:type="dxa" w:w="70"/>
              <w:left w:type="dxa" w:w="110"/>
              <w:bottom w:type="dxa" w:w="70"/>
              <w:right w:type="dxa" w:w="110"/>
            </w:tcMar>
          </w:tcPr>
          <w:p>
            <w:r>
              <w:rPr>
                <w:i/>
                <w:iCs/>
                <w:color w:val="A6A6A6"/>
                <w:sz w:val="18"/>
                <w:szCs w:val="18"/>
                <w:rFonts w:ascii="Calibri" w:cs="Calibri" w:eastAsia="Calibri" w:hAnsi="Calibri"/>
              </w:rPr>
              <w:t xml:space="preserve">yes / no</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Quotations excluded?</w:t>
            </w:r>
          </w:p>
        </w:tc>
        <w:tc>
          <w:tcPr>
            <w:tcMar>
              <w:top w:type="dxa" w:w="70"/>
              <w:left w:type="dxa" w:w="110"/>
              <w:bottom w:type="dxa" w:w="70"/>
              <w:right w:type="dxa" w:w="110"/>
            </w:tcMar>
          </w:tcPr>
          <w:p>
            <w:r>
              <w:rPr>
                <w:i/>
                <w:iCs/>
                <w:color w:val="A6A6A6"/>
                <w:sz w:val="18"/>
                <w:szCs w:val="18"/>
                <w:rFonts w:ascii="Calibri" w:cs="Calibri" w:eastAsia="Calibri" w:hAnsi="Calibri"/>
              </w:rPr>
              <w:t xml:space="preserve">yes / no</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University threshold</w:t>
            </w:r>
          </w:p>
        </w:tc>
        <w:tc>
          <w:tcPr>
            <w:tcMar>
              <w:top w:type="dxa" w:w="70"/>
              <w:left w:type="dxa" w:w="110"/>
              <w:bottom w:type="dxa" w:w="70"/>
              <w:right w:type="dxa" w:w="110"/>
            </w:tcMar>
          </w:tcPr>
          <w:p>
            <w:r>
              <w:rPr>
                <w:i/>
                <w:iCs/>
                <w:color w:val="A6A6A6"/>
                <w:sz w:val="18"/>
                <w:szCs w:val="18"/>
                <w:rFonts w:ascii="Calibri" w:cs="Calibri" w:eastAsia="Calibri" w:hAnsi="Calibri"/>
              </w:rPr>
              <w:t xml:space="preserve">and where it is stated</w:t>
            </w:r>
          </w:p>
        </w:tc>
      </w:tr>
    </w:tbl>
    <w:p>
      <w:pPr>
        <w:spacing w:before="200" w:after="90"/>
      </w:pPr>
      <w:r>
        <w:rPr>
          <w:b/>
          <w:bCs/>
          <w:sz w:val="21"/>
          <w:szCs w:val="21"/>
          <w:rFonts w:ascii="Calibri" w:cs="Calibri" w:eastAsia="Calibri" w:hAnsi="Calibri"/>
        </w:rPr>
        <w:t xml:space="preserve">Matches reviewed</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gridCol w:w="100"/>
        <w:gridCol w:w="100"/>
      </w:tblGrid>
      <w:tr>
        <w:trPr>
          <w:tblHeader/>
        </w:trPr>
        <w:tc>
          <w:tcPr>
            <w:tcW w:type="pct" w:w="10%"/>
            <w:shd w:fill="F2F2F2" w:val="clear"/>
            <w:tcMar>
              <w:top w:type="dxa" w:w="70"/>
              <w:left w:type="dxa" w:w="90"/>
              <w:bottom w:type="dxa" w:w="70"/>
              <w:right w:type="dxa" w:w="90"/>
            </w:tcMar>
          </w:tcPr>
          <w:p>
            <w:r>
              <w:rPr>
                <w:b/>
                <w:bCs/>
                <w:sz w:val="18"/>
                <w:szCs w:val="18"/>
                <w:rFonts w:ascii="Calibri" w:cs="Calibri" w:eastAsia="Calibri" w:hAnsi="Calibri"/>
              </w:rPr>
              <w:t xml:space="preserve">Page</w:t>
            </w:r>
          </w:p>
        </w:tc>
        <w:tc>
          <w:tcPr>
            <w:tcW w:type="pct" w:w="38%"/>
            <w:shd w:fill="F2F2F2" w:val="clear"/>
            <w:tcMar>
              <w:top w:type="dxa" w:w="70"/>
              <w:left w:type="dxa" w:w="90"/>
              <w:bottom w:type="dxa" w:w="70"/>
              <w:right w:type="dxa" w:w="90"/>
            </w:tcMar>
          </w:tcPr>
          <w:p>
            <w:r>
              <w:rPr>
                <w:b/>
                <w:bCs/>
                <w:sz w:val="18"/>
                <w:szCs w:val="18"/>
                <w:rFonts w:ascii="Calibri" w:cs="Calibri" w:eastAsia="Calibri" w:hAnsi="Calibri"/>
              </w:rPr>
              <w:t xml:space="preserve">Source matched</w:t>
            </w:r>
          </w:p>
        </w:tc>
        <w:tc>
          <w:tcPr>
            <w:tcW w:type="pct" w:w="20%"/>
            <w:shd w:fill="F2F2F2" w:val="clear"/>
            <w:tcMar>
              <w:top w:type="dxa" w:w="70"/>
              <w:left w:type="dxa" w:w="90"/>
              <w:bottom w:type="dxa" w:w="70"/>
              <w:right w:type="dxa" w:w="90"/>
            </w:tcMar>
          </w:tcPr>
          <w:p>
            <w:r>
              <w:rPr>
                <w:b/>
                <w:bCs/>
                <w:sz w:val="18"/>
                <w:szCs w:val="18"/>
                <w:rFonts w:ascii="Calibri" w:cs="Calibri" w:eastAsia="Calibri" w:hAnsi="Calibri"/>
              </w:rPr>
              <w:t xml:space="preserve">Type</w:t>
            </w:r>
          </w:p>
        </w:tc>
        <w:tc>
          <w:tcPr>
            <w:tcW w:type="pct" w:w="32%"/>
            <w:shd w:fill="F2F2F2" w:val="clear"/>
            <w:tcMar>
              <w:top w:type="dxa" w:w="70"/>
              <w:left w:type="dxa" w:w="90"/>
              <w:bottom w:type="dxa" w:w="70"/>
              <w:right w:type="dxa" w:w="90"/>
            </w:tcMar>
          </w:tcPr>
          <w:p>
            <w:r>
              <w:rPr>
                <w:b/>
                <w:bCs/>
                <w:sz w:val="18"/>
                <w:szCs w:val="18"/>
                <w:rFonts w:ascii="Calibri" w:cs="Calibri" w:eastAsia="Calibri" w:hAnsi="Calibri"/>
              </w:rPr>
              <w:t xml:space="preserve">Action taken</w:t>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bl>
    <w:p>
      <w:pPr>
        <w:pBdr>
          <w:bottom w:val="single" w:color="999999" w:sz="6" w:space="4"/>
        </w:pBdr>
        <w:spacing w:before="320" w:after="130"/>
      </w:pPr>
      <w:r>
        <w:rPr>
          <w:b/>
          <w:bCs/>
          <w:color w:val="1F3864"/>
          <w:sz w:val="25"/>
          <w:szCs w:val="25"/>
          <w:rFonts w:ascii="Calibri" w:cs="Calibri" w:eastAsia="Calibri" w:hAnsi="Calibri"/>
        </w:rPr>
        <w:t xml:space="preserve">7. Before you submit</w:t>
      </w:r>
    </w:p>
    <w:p>
      <w:pPr>
        <w:pStyle w:val="ListParagraph"/>
        <w:numPr>
          <w:ilvl w:val="0"/>
          <w:numId w:val="1"/>
        </w:numPr>
        <w:spacing w:after="70"/>
      </w:pPr>
      <w:r>
        <w:rPr>
          <w:sz w:val="21"/>
          <w:szCs w:val="21"/>
          <w:rFonts w:ascii="Calibri" w:cs="Calibri" w:eastAsia="Calibri" w:hAnsi="Calibri"/>
        </w:rPr>
        <w:t xml:space="preserve">Every match above 1% opened and read individually</w:t>
      </w:r>
    </w:p>
    <w:p>
      <w:pPr>
        <w:pStyle w:val="ListParagraph"/>
        <w:numPr>
          <w:ilvl w:val="0"/>
          <w:numId w:val="1"/>
        </w:numPr>
        <w:spacing w:after="70"/>
      </w:pPr>
      <w:r>
        <w:rPr>
          <w:sz w:val="21"/>
          <w:szCs w:val="21"/>
          <w:rFonts w:ascii="Calibri" w:cs="Calibri" w:eastAsia="Calibri" w:hAnsi="Calibri"/>
        </w:rPr>
        <w:t xml:space="preserve">Every direct quotation in quotation marks with a page number</w:t>
      </w:r>
    </w:p>
    <w:p>
      <w:pPr>
        <w:pStyle w:val="ListParagraph"/>
        <w:numPr>
          <w:ilvl w:val="0"/>
          <w:numId w:val="1"/>
        </w:numPr>
        <w:spacing w:after="70"/>
      </w:pPr>
      <w:r>
        <w:rPr>
          <w:sz w:val="21"/>
          <w:szCs w:val="21"/>
          <w:rFonts w:ascii="Calibri" w:cs="Calibri" w:eastAsia="Calibri" w:hAnsi="Calibri"/>
        </w:rPr>
        <w:t xml:space="preserve">Every paraphrase written from your notes, not edited from the source</w:t>
      </w:r>
    </w:p>
    <w:p>
      <w:pPr>
        <w:pStyle w:val="ListParagraph"/>
        <w:numPr>
          <w:ilvl w:val="0"/>
          <w:numId w:val="1"/>
        </w:numPr>
        <w:spacing w:after="70"/>
      </w:pPr>
      <w:r>
        <w:rPr>
          <w:sz w:val="21"/>
          <w:szCs w:val="21"/>
          <w:rFonts w:ascii="Calibri" w:cs="Calibri" w:eastAsia="Calibri" w:hAnsi="Calibri"/>
        </w:rPr>
        <w:t xml:space="preserve">Reference list and quotations handled consistently with your university's rule</w:t>
      </w:r>
    </w:p>
    <w:p>
      <w:pPr>
        <w:pStyle w:val="ListParagraph"/>
        <w:numPr>
          <w:ilvl w:val="0"/>
          <w:numId w:val="1"/>
        </w:numPr>
        <w:spacing w:after="70"/>
      </w:pPr>
      <w:r>
        <w:rPr>
          <w:sz w:val="21"/>
          <w:szCs w:val="21"/>
          <w:rFonts w:ascii="Calibri" w:cs="Calibri" w:eastAsia="Calibri" w:hAnsi="Calibri"/>
        </w:rPr>
        <w:t xml:space="preserve">Your own earlier work cited as a source</w:t>
      </w:r>
    </w:p>
    <w:p>
      <w:pPr>
        <w:pStyle w:val="ListParagraph"/>
        <w:numPr>
          <w:ilvl w:val="0"/>
          <w:numId w:val="1"/>
        </w:numPr>
        <w:spacing w:after="70"/>
      </w:pPr>
      <w:r>
        <w:rPr>
          <w:sz w:val="21"/>
          <w:szCs w:val="21"/>
          <w:rFonts w:ascii="Calibri" w:cs="Calibri" w:eastAsia="Calibri" w:hAnsi="Calibri"/>
        </w:rPr>
        <w:t xml:space="preserve">A dated copy of the report saved alongside the submitted draft</w:t>
      </w:r>
    </w:p>
    <w:p>
      <w:pPr>
        <w:pStyle w:val="ListParagraph"/>
        <w:numPr>
          <w:ilvl w:val="0"/>
          <w:numId w:val="1"/>
        </w:numPr>
        <w:spacing w:after="70"/>
      </w:pPr>
      <w:r>
        <w:rPr>
          <w:sz w:val="21"/>
          <w:szCs w:val="21"/>
          <w:rFonts w:ascii="Calibri" w:cs="Calibri" w:eastAsia="Calibri" w:hAnsi="Calibri"/>
        </w:rPr>
        <w:t xml:space="preserve">The university threshold confirmed in writing, not from memory</w:t>
      </w:r>
    </w:p>
    <w:p>
      <w:pPr>
        <w:pBdr>
          <w:top w:val="single" w:color="999999" w:sz="6" w:space="6"/>
        </w:pBdr>
        <w:spacing w:before="420" w:after="40"/>
      </w:pPr>
      <w:r>
        <w:rPr>
          <w:sz w:val="16"/>
          <w:szCs w:val="16"/>
          <w:rFonts w:ascii="Calibri" w:cs="Calibri" w:eastAsia="Calibri" w:hAnsi="Calibri"/>
        </w:rPr>
      </w:r>
    </w:p>
    <w:p>
      <w:r>
        <w:rPr>
          <w:color w:val="595959"/>
          <w:sz w:val="16"/>
          <w:szCs w:val="16"/>
          <w:rFonts w:ascii="Calibri" w:cs="Calibri" w:eastAsia="Calibri" w:hAnsi="Calibri"/>
        </w:rPr>
        <w:t xml:space="preserve">Prepared by Zonduo Technology, Nagercoil and Chennai, Tamil Nadu. Research support for PhD and postgraduate scholars since 2020. zonduo.com  ·  info@zonduo.com</w:t>
      </w:r>
    </w:p>
    <w:p>
      <w:pPr>
        <w:spacing w:before="60"/>
      </w:pPr>
      <w:r>
        <w:rPr>
          <w:i/>
          <w:iCs/>
          <w:color w:val="595959"/>
          <w:sz w:val="16"/>
          <w:szCs w:val="16"/>
          <w:rFonts w:ascii="Calibri" w:cs="Calibri" w:eastAsia="Calibri" w:hAnsi="Calibri"/>
        </w:rPr>
        <w:t xml:space="preserve">Similarity thresholds and the rules on excluding references and quotations are set by each university. Confirm your own institution's policy before relying on any figure in this guide. Licensed CC BY 4.0 — free to use and adapt with attribution.</w:t>
      </w:r>
    </w:p>
    <w:sectPr>
      <w:pgSz w:w="11906" w:h="16838" w:orient="portrait"/>
      <w:pgMar w:top="1224" w:right="1224" w:bottom="1224"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similarity report interpretation guide</dc:title>
  <dc:creator>Zonduo Technology</dc:creator>
  <dc:description>Research template — zonduo.com</dc:description>
  <cp:lastModifiedBy>Un-named</cp:lastModifiedBy>
  <cp:revision>1</cp:revision>
  <dcterms:created xsi:type="dcterms:W3CDTF">2026-10-11T14:58:38.893Z</dcterms:created>
  <dcterms:modified xsi:type="dcterms:W3CDTF">2026-10-11T14:58:38.902Z</dcterms:modified>
</cp:coreProperties>
</file>

<file path=docProps/custom.xml><?xml version="1.0" encoding="utf-8"?>
<Properties xmlns="http://schemas.openxmlformats.org/officeDocument/2006/custom-properties" xmlns:vt="http://schemas.openxmlformats.org/officeDocument/2006/docPropsVTypes"/>
</file>